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9C" w:rsidRPr="00940F65" w:rsidRDefault="00403A9C" w:rsidP="00403A9C">
      <w:pPr>
        <w:pStyle w:val="Titolo"/>
        <w:pageBreakBefore/>
        <w:rPr>
          <w:sz w:val="24"/>
          <w:szCs w:val="24"/>
        </w:rPr>
      </w:pPr>
      <w:r w:rsidRPr="00940F65">
        <w:rPr>
          <w:sz w:val="24"/>
          <w:szCs w:val="24"/>
        </w:rPr>
        <w:t xml:space="preserve">Scheda di </w:t>
      </w:r>
      <w:r>
        <w:rPr>
          <w:sz w:val="24"/>
          <w:szCs w:val="24"/>
        </w:rPr>
        <w:t>"monitoraggio"</w:t>
      </w:r>
      <w:r w:rsidRPr="00940F65">
        <w:rPr>
          <w:sz w:val="24"/>
          <w:szCs w:val="24"/>
        </w:rPr>
        <w:t xml:space="preserve"> sulla rilevazione degli OIV o organismi con funzioni analoghe</w:t>
      </w:r>
      <w:bookmarkStart w:id="0" w:name="_GoBack"/>
      <w:bookmarkEnd w:id="0"/>
    </w:p>
    <w:p w:rsidR="00403A9C" w:rsidRPr="00940F65" w:rsidRDefault="00403A9C" w:rsidP="00403A9C">
      <w:pPr>
        <w:pStyle w:val="Paragrafoelenco"/>
        <w:spacing w:line="360" w:lineRule="auto"/>
        <w:ind w:left="0" w:firstLine="0"/>
        <w:rPr>
          <w:rFonts w:cs="Times New Roman"/>
          <w:b/>
          <w:i/>
        </w:rPr>
      </w:pPr>
      <w:r w:rsidRPr="00940F65">
        <w:rPr>
          <w:rFonts w:cs="Times New Roman"/>
          <w:b/>
          <w:i/>
        </w:rPr>
        <w:t>Data di svolgimento della rilevazione</w:t>
      </w:r>
    </w:p>
    <w:p w:rsidR="00403A9C" w:rsidRPr="00940F65" w:rsidRDefault="00403A9C" w:rsidP="00403A9C">
      <w:pPr>
        <w:pStyle w:val="Paragrafoelenco"/>
        <w:spacing w:line="276" w:lineRule="auto"/>
        <w:ind w:left="0" w:firstLine="0"/>
        <w:rPr>
          <w:rFonts w:cs="Times New Roman"/>
          <w:u w:val="single"/>
        </w:rPr>
      </w:pPr>
      <w:r>
        <w:rPr>
          <w:rFonts w:cs="Times New Roman"/>
        </w:rPr>
        <w:t>01.11</w:t>
      </w:r>
      <w:r w:rsidRPr="00940F65">
        <w:rPr>
          <w:rFonts w:cs="Times New Roman"/>
        </w:rPr>
        <w:t>.2022</w:t>
      </w:r>
    </w:p>
    <w:p w:rsidR="00403A9C" w:rsidRPr="00940F65" w:rsidRDefault="00403A9C" w:rsidP="00403A9C">
      <w:pPr>
        <w:pStyle w:val="Paragrafoelenco"/>
        <w:spacing w:after="0"/>
        <w:ind w:left="0" w:firstLine="0"/>
        <w:rPr>
          <w:rFonts w:cs="Times New Roman"/>
          <w:b/>
          <w:i/>
        </w:rPr>
      </w:pPr>
      <w:r w:rsidRPr="00940F65">
        <w:rPr>
          <w:rFonts w:cs="Times New Roman"/>
          <w:b/>
          <w:i/>
        </w:rPr>
        <w:t>Estensione della rilevazione (nel solo caso di amministrazioni/enti con uffici periferici)</w:t>
      </w:r>
    </w:p>
    <w:p w:rsidR="00403A9C" w:rsidRPr="00940F65" w:rsidRDefault="00403A9C" w:rsidP="00403A9C">
      <w:pPr>
        <w:pStyle w:val="Paragrafoelenco"/>
        <w:spacing w:after="0"/>
        <w:ind w:left="0" w:firstLine="0"/>
        <w:rPr>
          <w:rFonts w:cs="Times New Roman"/>
          <w:b/>
          <w:u w:val="single"/>
        </w:rPr>
      </w:pPr>
    </w:p>
    <w:p w:rsidR="00403A9C" w:rsidRPr="00940F65" w:rsidRDefault="00403A9C" w:rsidP="00403A9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w w:val="95"/>
        </w:rPr>
      </w:pPr>
      <w:r w:rsidRPr="00940F65">
        <w:rPr>
          <w:rFonts w:cs="Times New Roman"/>
          <w:bCs/>
          <w:w w:val="95"/>
        </w:rPr>
        <w:t>L’Ente, oggetto di rilevazione, non dispone di uffici periferici, articolazioni organizzative autonome e Corpi.</w:t>
      </w:r>
    </w:p>
    <w:p w:rsidR="00403A9C" w:rsidRPr="00940F65" w:rsidRDefault="00403A9C" w:rsidP="00403A9C">
      <w:pPr>
        <w:pStyle w:val="Paragrafoelenco"/>
        <w:spacing w:after="0" w:line="276" w:lineRule="auto"/>
        <w:ind w:left="720" w:firstLine="0"/>
        <w:rPr>
          <w:rFonts w:cs="Times New Roman"/>
        </w:rPr>
      </w:pPr>
    </w:p>
    <w:p w:rsidR="00403A9C" w:rsidRPr="00940F65" w:rsidRDefault="00403A9C" w:rsidP="00403A9C">
      <w:pPr>
        <w:pStyle w:val="Paragrafoelenco"/>
        <w:spacing w:line="360" w:lineRule="auto"/>
        <w:ind w:left="0" w:firstLine="0"/>
        <w:rPr>
          <w:rFonts w:cs="Times New Roman"/>
          <w:b/>
          <w:i/>
        </w:rPr>
      </w:pPr>
      <w:r w:rsidRPr="00940F65">
        <w:rPr>
          <w:rFonts w:cs="Times New Roman"/>
          <w:b/>
          <w:i/>
        </w:rPr>
        <w:t xml:space="preserve">Procedure e modalità seguite per la rilevazione </w:t>
      </w:r>
    </w:p>
    <w:p w:rsidR="00403A9C" w:rsidRPr="00940F65" w:rsidRDefault="00403A9C" w:rsidP="00403A9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w w:val="95"/>
        </w:rPr>
      </w:pPr>
      <w:r w:rsidRPr="00940F65">
        <w:rPr>
          <w:rFonts w:cs="Times New Roman"/>
          <w:bCs/>
          <w:w w:val="95"/>
        </w:rPr>
        <w:t>Per la rilevazione dei dati richiesti, il Nucleo di Valutazione ha verificato sul sito istituzionale, sezione Amministrazione Trasparente – Denominazione sotto-sezione livello 1 (</w:t>
      </w:r>
      <w:proofErr w:type="spellStart"/>
      <w:r w:rsidRPr="00940F65">
        <w:rPr>
          <w:rFonts w:cs="Times New Roman"/>
          <w:bCs/>
          <w:w w:val="95"/>
        </w:rPr>
        <w:t>Macrofamiglie</w:t>
      </w:r>
      <w:proofErr w:type="spellEnd"/>
      <w:r w:rsidRPr="00940F65">
        <w:rPr>
          <w:rFonts w:cs="Times New Roman"/>
          <w:bCs/>
          <w:w w:val="95"/>
        </w:rPr>
        <w:t xml:space="preserve">) riportata nell’Allegato </w:t>
      </w:r>
      <w:r>
        <w:rPr>
          <w:rFonts w:cs="Times New Roman"/>
          <w:bCs/>
          <w:w w:val="95"/>
        </w:rPr>
        <w:t>6.1</w:t>
      </w:r>
      <w:r w:rsidRPr="00940F65">
        <w:rPr>
          <w:rFonts w:cs="Times New Roman"/>
          <w:bCs/>
          <w:w w:val="95"/>
        </w:rPr>
        <w:t xml:space="preserve">, la completezza del contenuto </w:t>
      </w:r>
      <w:r>
        <w:rPr>
          <w:rFonts w:cs="Times New Roman"/>
          <w:bCs/>
          <w:w w:val="95"/>
        </w:rPr>
        <w:t>d</w:t>
      </w:r>
      <w:r w:rsidRPr="00940F65">
        <w:rPr>
          <w:rFonts w:cs="Times New Roman"/>
          <w:bCs/>
          <w:w w:val="95"/>
        </w:rPr>
        <w:t>ei dati riportati avvalendosi anche di supporti informatici.</w:t>
      </w:r>
    </w:p>
    <w:p w:rsidR="00403A9C" w:rsidRPr="00940F65" w:rsidRDefault="00403A9C" w:rsidP="00403A9C">
      <w:pPr>
        <w:spacing w:line="360" w:lineRule="auto"/>
        <w:rPr>
          <w:rFonts w:cs="Times New Roman"/>
          <w:u w:val="single"/>
        </w:rPr>
      </w:pPr>
    </w:p>
    <w:p w:rsidR="00403A9C" w:rsidRPr="00940F65" w:rsidRDefault="00403A9C" w:rsidP="00403A9C">
      <w:pPr>
        <w:spacing w:line="360" w:lineRule="auto"/>
        <w:rPr>
          <w:rFonts w:cs="Times New Roman"/>
          <w:b/>
          <w:i/>
        </w:rPr>
      </w:pPr>
      <w:r w:rsidRPr="00940F65">
        <w:rPr>
          <w:rFonts w:cs="Times New Roman"/>
          <w:b/>
          <w:i/>
        </w:rPr>
        <w:t>Aspetti critici riscontrati nel corso della rilevazione</w:t>
      </w:r>
    </w:p>
    <w:p w:rsidR="00403A9C" w:rsidRDefault="00403A9C" w:rsidP="00403A9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w w:val="95"/>
        </w:rPr>
      </w:pPr>
      <w:r>
        <w:rPr>
          <w:rFonts w:cs="Times New Roman"/>
          <w:bCs/>
          <w:w w:val="95"/>
        </w:rPr>
        <w:t>Premesso che:</w:t>
      </w:r>
    </w:p>
    <w:p w:rsidR="00403A9C" w:rsidRDefault="00403A9C" w:rsidP="00403A9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w w:val="95"/>
        </w:rPr>
      </w:pPr>
    </w:p>
    <w:p w:rsidR="00403A9C" w:rsidRPr="00DC51F3" w:rsidRDefault="00403A9C" w:rsidP="00403A9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w w:val="95"/>
        </w:rPr>
      </w:pPr>
      <w:r>
        <w:rPr>
          <w:rFonts w:cs="Times New Roman"/>
          <w:bCs/>
          <w:w w:val="95"/>
        </w:rPr>
        <w:t>c</w:t>
      </w:r>
      <w:r w:rsidRPr="00DC51F3">
        <w:rPr>
          <w:rFonts w:cs="Times New Roman"/>
          <w:bCs/>
          <w:w w:val="95"/>
        </w:rPr>
        <w:t xml:space="preserve">on la </w:t>
      </w:r>
      <w:hyperlink r:id="rId8" w:tgtFrame="_blank" w:history="1">
        <w:r w:rsidRPr="00DC51F3">
          <w:rPr>
            <w:rFonts w:cs="Times New Roman"/>
            <w:bCs/>
            <w:w w:val="95"/>
          </w:rPr>
          <w:t>Delibera ANAC 201/2022</w:t>
        </w:r>
      </w:hyperlink>
      <w:r w:rsidRPr="00DC51F3">
        <w:rPr>
          <w:rFonts w:cs="Times New Roman"/>
          <w:bCs/>
          <w:w w:val="95"/>
        </w:rPr>
        <w:t xml:space="preserve">, finalizzata a fornire istruzioni sulla predisposizione dell’attestazione ex art. 14, co. 4, </w:t>
      </w:r>
      <w:proofErr w:type="spellStart"/>
      <w:r w:rsidRPr="00DC51F3">
        <w:rPr>
          <w:rFonts w:cs="Times New Roman"/>
          <w:bCs/>
          <w:w w:val="95"/>
        </w:rPr>
        <w:t>lett</w:t>
      </w:r>
      <w:proofErr w:type="spellEnd"/>
      <w:r w:rsidRPr="00DC51F3">
        <w:rPr>
          <w:rFonts w:cs="Times New Roman"/>
          <w:bCs/>
          <w:w w:val="95"/>
        </w:rPr>
        <w:t xml:space="preserve">. g), del D. </w:t>
      </w:r>
      <w:proofErr w:type="spellStart"/>
      <w:r w:rsidRPr="00DC51F3">
        <w:rPr>
          <w:rFonts w:cs="Times New Roman"/>
          <w:bCs/>
          <w:w w:val="95"/>
        </w:rPr>
        <w:t>Leg.vo</w:t>
      </w:r>
      <w:proofErr w:type="spellEnd"/>
      <w:r w:rsidRPr="00DC51F3">
        <w:rPr>
          <w:rFonts w:cs="Times New Roman"/>
          <w:bCs/>
          <w:w w:val="95"/>
        </w:rPr>
        <w:t xml:space="preserve"> 150/2009, ANAC - tra le altre cose - ha previsto che il RPCT, successivamente alla pubblicazione dell’attestazione OIV e all’invio ad ANAC, è tenuto ad assumere le misure di trasparenza utili a superare le eventuali criticità segnalate dagli OIV entro il 31 ottobre 2022 ovvero idonee a migliorare la rappresentazione dei dati per renderli più chiari e fruibili.</w:t>
      </w:r>
    </w:p>
    <w:p w:rsidR="00403A9C" w:rsidRDefault="00403A9C" w:rsidP="00403A9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w w:val="95"/>
        </w:rPr>
      </w:pPr>
    </w:p>
    <w:p w:rsidR="00403A9C" w:rsidRPr="00DC51F3" w:rsidRDefault="00403A9C" w:rsidP="00403A9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w w:val="95"/>
        </w:rPr>
      </w:pPr>
      <w:r>
        <w:rPr>
          <w:rFonts w:cs="Times New Roman"/>
          <w:bCs/>
          <w:w w:val="95"/>
        </w:rPr>
        <w:t>c</w:t>
      </w:r>
      <w:r w:rsidRPr="00DC51F3">
        <w:rPr>
          <w:rFonts w:cs="Times New Roman"/>
          <w:bCs/>
          <w:w w:val="95"/>
        </w:rPr>
        <w:t xml:space="preserve">on particolare riguardo alle criticità, l’Autorità ha specificato che gli OIV e gli altri organismi con funzioni analoghe, che hanno evidenziato al 31 maggio 2022 nella griglia di rilevazione </w:t>
      </w:r>
      <w:r w:rsidRPr="00DC51F3">
        <w:rPr>
          <w:rFonts w:cs="Times New Roman"/>
          <w:i/>
          <w:iCs/>
          <w:w w:val="95"/>
        </w:rPr>
        <w:t>carenze significative di pubblicazione, attribuendo nella colonna “completezza di contenuto” un valore inferiore a 3</w:t>
      </w:r>
      <w:r w:rsidRPr="00DC51F3">
        <w:rPr>
          <w:rFonts w:cs="Times New Roman"/>
          <w:bCs/>
          <w:w w:val="95"/>
        </w:rPr>
        <w:t>, sono tenuti a monitorare le misure di adeguamento agli obblighi di pubblicazione adottate dalle amministrazioni/enti, società, verificando il permanere o il superamento delle sole criticità esposte nella citata griglia di rilevazione.</w:t>
      </w:r>
    </w:p>
    <w:p w:rsidR="00403A9C" w:rsidRDefault="00403A9C" w:rsidP="00403A9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w w:val="95"/>
        </w:rPr>
      </w:pPr>
    </w:p>
    <w:p w:rsidR="00403A9C" w:rsidRDefault="00403A9C" w:rsidP="00403A9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w w:val="95"/>
        </w:rPr>
      </w:pPr>
      <w:r>
        <w:rPr>
          <w:rFonts w:cs="Times New Roman"/>
          <w:bCs/>
          <w:w w:val="95"/>
        </w:rPr>
        <w:t>Tenuto conto che t</w:t>
      </w:r>
      <w:r w:rsidRPr="00DC51F3">
        <w:rPr>
          <w:rFonts w:cs="Times New Roman"/>
          <w:bCs/>
          <w:w w:val="95"/>
        </w:rPr>
        <w:t xml:space="preserve">ale attività di monitoraggio </w:t>
      </w:r>
      <w:r>
        <w:rPr>
          <w:rFonts w:cs="Times New Roman"/>
          <w:bCs/>
          <w:w w:val="95"/>
        </w:rPr>
        <w:t>è stata</w:t>
      </w:r>
      <w:r w:rsidRPr="00DC51F3">
        <w:rPr>
          <w:rFonts w:cs="Times New Roman"/>
          <w:bCs/>
          <w:w w:val="95"/>
        </w:rPr>
        <w:t xml:space="preserve"> svolta mediante l’utilizzo di un'altra griglia (c.d. “di monitoraggio”), che ANAC ha reso disponibile ad integrazione della citata </w:t>
      </w:r>
      <w:hyperlink r:id="rId9" w:tgtFrame="_blank" w:history="1">
        <w:r w:rsidRPr="00DC51F3">
          <w:rPr>
            <w:rFonts w:cs="Times New Roman"/>
            <w:bCs/>
            <w:w w:val="95"/>
          </w:rPr>
          <w:t>Delibera ANAC 201/2022</w:t>
        </w:r>
      </w:hyperlink>
      <w:r w:rsidRPr="00DC51F3">
        <w:rPr>
          <w:rFonts w:cs="Times New Roman"/>
          <w:bCs/>
          <w:w w:val="95"/>
        </w:rPr>
        <w:t xml:space="preserve">. </w:t>
      </w:r>
    </w:p>
    <w:p w:rsidR="00403A9C" w:rsidRDefault="00403A9C" w:rsidP="00403A9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w w:val="95"/>
        </w:rPr>
      </w:pPr>
    </w:p>
    <w:p w:rsidR="00403A9C" w:rsidRDefault="00403A9C" w:rsidP="00403A9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w w:val="95"/>
        </w:rPr>
      </w:pPr>
      <w:r>
        <w:rPr>
          <w:rFonts w:cs="Times New Roman"/>
          <w:bCs/>
          <w:w w:val="95"/>
        </w:rPr>
        <w:t>Dato atto che l</w:t>
      </w:r>
      <w:r w:rsidRPr="00DC51F3">
        <w:rPr>
          <w:rFonts w:cs="Times New Roman"/>
          <w:bCs/>
          <w:w w:val="95"/>
        </w:rPr>
        <w:t>a compilazione della griglia di monitoraggio avviene aggiornando i valori attribuiti nella colonna “</w:t>
      </w:r>
      <w:r w:rsidRPr="00DC51F3">
        <w:rPr>
          <w:rFonts w:cs="Times New Roman"/>
          <w:bCs/>
          <w:i/>
          <w:iCs/>
          <w:w w:val="95"/>
        </w:rPr>
        <w:t>completezza di contenuto al 31 ottobre 2022</w:t>
      </w:r>
      <w:r w:rsidRPr="00DC51F3">
        <w:rPr>
          <w:rFonts w:cs="Times New Roman"/>
          <w:bCs/>
          <w:w w:val="95"/>
        </w:rPr>
        <w:t>”.</w:t>
      </w:r>
    </w:p>
    <w:p w:rsidR="00403A9C" w:rsidRPr="00DC51F3" w:rsidRDefault="00403A9C" w:rsidP="00403A9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w w:val="95"/>
        </w:rPr>
      </w:pPr>
      <w:r w:rsidRPr="00DC51F3">
        <w:rPr>
          <w:rFonts w:cs="Times New Roman"/>
          <w:bCs/>
          <w:w w:val="95"/>
        </w:rPr>
        <w:br/>
        <w:t>La griglia di monitoraggio allegato 6.1</w:t>
      </w:r>
      <w:r>
        <w:rPr>
          <w:rFonts w:cs="Times New Roman"/>
          <w:bCs/>
          <w:w w:val="95"/>
        </w:rPr>
        <w:t>,</w:t>
      </w:r>
      <w:r w:rsidRPr="00DC51F3">
        <w:rPr>
          <w:rFonts w:cs="Times New Roman"/>
          <w:bCs/>
          <w:w w:val="95"/>
        </w:rPr>
        <w:t xml:space="preserve"> entro la data del 10 novembre 2022</w:t>
      </w:r>
      <w:r>
        <w:rPr>
          <w:rFonts w:cs="Times New Roman"/>
          <w:bCs/>
          <w:w w:val="95"/>
        </w:rPr>
        <w:t>,</w:t>
      </w:r>
      <w:r w:rsidRPr="00DC51F3">
        <w:rPr>
          <w:rFonts w:cs="Times New Roman"/>
          <w:bCs/>
          <w:w w:val="95"/>
        </w:rPr>
        <w:t xml:space="preserve"> dovrà essere:</w:t>
      </w:r>
    </w:p>
    <w:p w:rsidR="00403A9C" w:rsidRDefault="00403A9C" w:rsidP="00403A9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w w:val="95"/>
        </w:rPr>
      </w:pPr>
    </w:p>
    <w:p w:rsidR="00403A9C" w:rsidRPr="00DC51F3" w:rsidRDefault="00403A9C" w:rsidP="00403A9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w w:val="95"/>
        </w:rPr>
      </w:pPr>
      <w:r w:rsidRPr="00DC51F3">
        <w:rPr>
          <w:rFonts w:cs="Times New Roman"/>
          <w:bCs/>
          <w:w w:val="95"/>
        </w:rPr>
        <w:t xml:space="preserve">- pubblicata nella sezione “Amministrazione trasparente” o “Società trasparente” sotto-sezione di primo livello «Controlli e rilievi sull’amministrazione», sotto-sezione di secondo livello «Organismi indipendenti di valutazione, nuclei di valutazione o altri organismi con funzioni analoghe», «Attestazione dell'OIV o di </w:t>
      </w:r>
      <w:r w:rsidRPr="00DC51F3">
        <w:rPr>
          <w:rFonts w:cs="Times New Roman"/>
          <w:bCs/>
          <w:w w:val="95"/>
        </w:rPr>
        <w:lastRenderedPageBreak/>
        <w:t>altra struttura analoga nell’assolvimento degli obblighi di pubblicazione»;</w:t>
      </w:r>
    </w:p>
    <w:p w:rsidR="00403A9C" w:rsidRPr="00DC51F3" w:rsidRDefault="00403A9C" w:rsidP="00403A9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w w:val="95"/>
        </w:rPr>
      </w:pPr>
      <w:r w:rsidRPr="00DC51F3">
        <w:rPr>
          <w:rFonts w:cs="Times New Roman"/>
          <w:bCs/>
          <w:w w:val="95"/>
        </w:rPr>
        <w:t xml:space="preserve">- trasmessa ad ANAC all’indirizzo di posta elettronica: </w:t>
      </w:r>
      <w:hyperlink r:id="rId10" w:tgtFrame="_self" w:history="1">
        <w:r w:rsidRPr="00DC51F3">
          <w:rPr>
            <w:rFonts w:cs="Times New Roman"/>
            <w:bCs/>
            <w:w w:val="95"/>
          </w:rPr>
          <w:t>attestazioni.oiv@anticorruzione.it</w:t>
        </w:r>
      </w:hyperlink>
      <w:r w:rsidRPr="00DC51F3">
        <w:rPr>
          <w:rFonts w:cs="Times New Roman"/>
          <w:bCs/>
          <w:w w:val="95"/>
        </w:rPr>
        <w:t>.</w:t>
      </w:r>
    </w:p>
    <w:p w:rsidR="00403A9C" w:rsidRPr="00940F65" w:rsidRDefault="00403A9C" w:rsidP="00403A9C">
      <w:pPr>
        <w:spacing w:line="360" w:lineRule="auto"/>
        <w:rPr>
          <w:rFonts w:cs="Times New Roman"/>
          <w:b/>
          <w:u w:val="single"/>
        </w:rPr>
      </w:pPr>
    </w:p>
    <w:p w:rsidR="00403A9C" w:rsidRPr="00940F65" w:rsidRDefault="00403A9C" w:rsidP="00403A9C">
      <w:pPr>
        <w:spacing w:before="120" w:after="0" w:line="276" w:lineRule="auto"/>
        <w:jc w:val="left"/>
        <w:rPr>
          <w:rFonts w:cs="Times New Roman"/>
        </w:rPr>
      </w:pPr>
      <w:r>
        <w:rPr>
          <w:rFonts w:cs="Times New Roman"/>
        </w:rPr>
        <w:t>01.11.</w:t>
      </w:r>
      <w:r w:rsidRPr="00940F65">
        <w:rPr>
          <w:rFonts w:cs="Times New Roman"/>
        </w:rPr>
        <w:t>2022</w:t>
      </w:r>
    </w:p>
    <w:p w:rsidR="00403A9C" w:rsidRPr="00940F65" w:rsidRDefault="00403A9C" w:rsidP="00403A9C">
      <w:pPr>
        <w:spacing w:before="120" w:after="0" w:line="276" w:lineRule="auto"/>
        <w:jc w:val="right"/>
        <w:rPr>
          <w:rFonts w:cs="Times New Roman"/>
        </w:rPr>
      </w:pPr>
    </w:p>
    <w:p w:rsidR="00403A9C" w:rsidRPr="00940F65" w:rsidRDefault="00403A9C" w:rsidP="00403A9C">
      <w:pPr>
        <w:spacing w:before="120" w:after="0" w:line="276" w:lineRule="auto"/>
        <w:jc w:val="right"/>
        <w:rPr>
          <w:rFonts w:cs="Times New Roman"/>
        </w:rPr>
      </w:pPr>
      <w:r w:rsidRPr="00940F65">
        <w:rPr>
          <w:rFonts w:cs="Times New Roman"/>
        </w:rPr>
        <w:t>Il Nucleo di Valutazione monocratico</w:t>
      </w:r>
    </w:p>
    <w:p w:rsidR="00403A9C" w:rsidRPr="00940F65" w:rsidRDefault="00403A9C" w:rsidP="00403A9C">
      <w:pPr>
        <w:spacing w:before="120" w:after="0" w:line="276" w:lineRule="auto"/>
        <w:jc w:val="right"/>
        <w:rPr>
          <w:rFonts w:cs="Times New Roman"/>
        </w:rPr>
      </w:pPr>
      <w:r w:rsidRPr="00940F65">
        <w:rPr>
          <w:rFonts w:cs="Times New Roman"/>
        </w:rPr>
        <w:t>f.to dott. Michele Ariano</w:t>
      </w:r>
    </w:p>
    <w:p w:rsidR="00403A9C" w:rsidRPr="00940F65" w:rsidRDefault="00403A9C" w:rsidP="00403A9C">
      <w:pPr>
        <w:spacing w:line="360" w:lineRule="auto"/>
        <w:rPr>
          <w:rFonts w:cs="Times New Roman"/>
          <w:b/>
          <w:i/>
        </w:rPr>
      </w:pPr>
    </w:p>
    <w:p w:rsidR="00403A9C" w:rsidRPr="00940F65" w:rsidRDefault="00403A9C" w:rsidP="00403A9C">
      <w:pPr>
        <w:spacing w:line="360" w:lineRule="auto"/>
        <w:rPr>
          <w:rFonts w:cs="Times New Roman"/>
          <w:b/>
          <w:i/>
        </w:rPr>
      </w:pPr>
    </w:p>
    <w:p w:rsidR="00940F65" w:rsidRPr="00403A9C" w:rsidRDefault="00940F65" w:rsidP="00403A9C"/>
    <w:sectPr w:rsidR="00940F65" w:rsidRPr="00403A9C" w:rsidSect="00A00C17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2C" w:rsidRDefault="004D742C">
      <w:pPr>
        <w:spacing w:after="0" w:line="240" w:lineRule="auto"/>
      </w:pPr>
      <w:r>
        <w:separator/>
      </w:r>
    </w:p>
  </w:endnote>
  <w:endnote w:type="continuationSeparator" w:id="0">
    <w:p w:rsidR="004D742C" w:rsidRDefault="004D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2C" w:rsidRDefault="004D742C">
      <w:pPr>
        <w:spacing w:after="0" w:line="240" w:lineRule="auto"/>
      </w:pPr>
      <w:r>
        <w:separator/>
      </w:r>
    </w:p>
  </w:footnote>
  <w:footnote w:type="continuationSeparator" w:id="0">
    <w:p w:rsidR="004D742C" w:rsidRDefault="004D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F65" w:rsidRDefault="00BF2D2A" w:rsidP="00940F65">
    <w:pPr>
      <w:spacing w:after="240" w:line="320" w:lineRule="exact"/>
      <w:jc w:val="center"/>
      <w:rPr>
        <w:rFonts w:cs="Times New Roman"/>
        <w:bCs/>
      </w:rPr>
    </w:pPr>
    <w:r>
      <w:rPr>
        <w:rFonts w:ascii="Garamond" w:hAnsi="Garamond" w:cs="Times New Roman"/>
        <w:bCs/>
        <w:noProof/>
        <w:sz w:val="14"/>
        <w:szCs w:val="14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2795618</wp:posOffset>
          </wp:positionH>
          <wp:positionV relativeFrom="paragraph">
            <wp:posOffset>250129</wp:posOffset>
          </wp:positionV>
          <wp:extent cx="525536" cy="7160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latafimi_Segesta-Stem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536" cy="716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0F65">
      <w:rPr>
        <w:rFonts w:cs="Times New Roman"/>
        <w:bCs/>
      </w:rPr>
      <w:t>NUCLEO DI VALUTAZIONE</w:t>
    </w:r>
  </w:p>
  <w:p w:rsidR="00940F65" w:rsidRDefault="00940F65" w:rsidP="00940F65">
    <w:pPr>
      <w:spacing w:before="240" w:after="240" w:line="320" w:lineRule="exact"/>
      <w:jc w:val="center"/>
      <w:rPr>
        <w:rFonts w:cs="Times New Roman"/>
        <w:b/>
        <w:bCs/>
      </w:rPr>
    </w:pPr>
  </w:p>
  <w:p w:rsidR="00940F65" w:rsidRDefault="00940F65" w:rsidP="00940F65">
    <w:pPr>
      <w:spacing w:before="240" w:after="240" w:line="320" w:lineRule="exact"/>
      <w:jc w:val="center"/>
      <w:rPr>
        <w:rFonts w:cs="Times New Roman"/>
        <w:b/>
        <w:bCs/>
      </w:rPr>
    </w:pPr>
  </w:p>
  <w:p w:rsidR="0085206C" w:rsidRPr="006E496C" w:rsidRDefault="00940F65" w:rsidP="00403A9C">
    <w:pPr>
      <w:spacing w:before="240" w:after="240" w:line="320" w:lineRule="exact"/>
      <w:jc w:val="center"/>
      <w:rPr>
        <w:rFonts w:ascii="Garamond" w:hAnsi="Garamond" w:cs="Times New Roman"/>
        <w:b/>
      </w:rPr>
    </w:pPr>
    <w:r>
      <w:rPr>
        <w:rFonts w:cs="Times New Roman"/>
        <w:bCs/>
      </w:rPr>
      <w:t xml:space="preserve">COMUNE DI </w:t>
    </w:r>
    <w:r w:rsidR="00BF2D2A">
      <w:rPr>
        <w:rFonts w:cs="Times New Roman"/>
        <w:bCs/>
      </w:rPr>
      <w:t>CALAT</w:t>
    </w:r>
    <w:r w:rsidR="00403A9C">
      <w:rPr>
        <w:rFonts w:cs="Times New Roman"/>
        <w:bCs/>
      </w:rPr>
      <w:t>A</w:t>
    </w:r>
    <w:r w:rsidR="00BF2D2A">
      <w:rPr>
        <w:rFonts w:cs="Times New Roman"/>
        <w:bCs/>
      </w:rPr>
      <w:t>FIMI SEGESTA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40F20"/>
    <w:rsid w:val="000F2C0E"/>
    <w:rsid w:val="0016468A"/>
    <w:rsid w:val="0024134D"/>
    <w:rsid w:val="00257242"/>
    <w:rsid w:val="002C572E"/>
    <w:rsid w:val="003E1CF5"/>
    <w:rsid w:val="00403A9C"/>
    <w:rsid w:val="0041405A"/>
    <w:rsid w:val="00416AD0"/>
    <w:rsid w:val="00476D75"/>
    <w:rsid w:val="0048249A"/>
    <w:rsid w:val="004833D5"/>
    <w:rsid w:val="004D742C"/>
    <w:rsid w:val="004F18CD"/>
    <w:rsid w:val="00506EFE"/>
    <w:rsid w:val="0060106A"/>
    <w:rsid w:val="006642D5"/>
    <w:rsid w:val="006E496C"/>
    <w:rsid w:val="007052EA"/>
    <w:rsid w:val="00713BFD"/>
    <w:rsid w:val="007531A4"/>
    <w:rsid w:val="007A107C"/>
    <w:rsid w:val="00837860"/>
    <w:rsid w:val="0085206C"/>
    <w:rsid w:val="00861FE1"/>
    <w:rsid w:val="008A0378"/>
    <w:rsid w:val="00940F65"/>
    <w:rsid w:val="00955140"/>
    <w:rsid w:val="0099384E"/>
    <w:rsid w:val="009A5646"/>
    <w:rsid w:val="009C05D1"/>
    <w:rsid w:val="009C6FAC"/>
    <w:rsid w:val="00A00C17"/>
    <w:rsid w:val="00A52DF7"/>
    <w:rsid w:val="00AF790D"/>
    <w:rsid w:val="00B52046"/>
    <w:rsid w:val="00BF2D2A"/>
    <w:rsid w:val="00C27B23"/>
    <w:rsid w:val="00C32BE7"/>
    <w:rsid w:val="00CF6435"/>
    <w:rsid w:val="00D27496"/>
    <w:rsid w:val="00EF2C1B"/>
    <w:rsid w:val="00FC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3530BC-2E86-493A-B600-5B7647A0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00C17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A00C17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A00C17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A00C17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A00C17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A00C17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A00C17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A00C1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A00C17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A00C17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A00C1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A00C17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A00C17"/>
    <w:rPr>
      <w:rFonts w:ascii="Courier New" w:hAnsi="Courier New" w:cs="Courier New"/>
    </w:rPr>
  </w:style>
  <w:style w:type="character" w:customStyle="1" w:styleId="WWCharLFO13LVL3">
    <w:name w:val="WW_CharLFO13LVL3"/>
    <w:rsid w:val="00A00C17"/>
    <w:rPr>
      <w:rFonts w:ascii="Wingdings" w:hAnsi="Wingdings"/>
    </w:rPr>
  </w:style>
  <w:style w:type="character" w:customStyle="1" w:styleId="WWCharLFO13LVL4">
    <w:name w:val="WW_CharLFO13LVL4"/>
    <w:rsid w:val="00A00C17"/>
    <w:rPr>
      <w:rFonts w:ascii="Symbol" w:hAnsi="Symbol"/>
    </w:rPr>
  </w:style>
  <w:style w:type="character" w:customStyle="1" w:styleId="WWCharLFO13LVL5">
    <w:name w:val="WW_CharLFO13LVL5"/>
    <w:rsid w:val="00A00C17"/>
    <w:rPr>
      <w:rFonts w:ascii="Courier New" w:hAnsi="Courier New" w:cs="Courier New"/>
    </w:rPr>
  </w:style>
  <w:style w:type="character" w:customStyle="1" w:styleId="WWCharLFO13LVL6">
    <w:name w:val="WW_CharLFO13LVL6"/>
    <w:rsid w:val="00A00C17"/>
    <w:rPr>
      <w:rFonts w:ascii="Wingdings" w:hAnsi="Wingdings"/>
    </w:rPr>
  </w:style>
  <w:style w:type="character" w:customStyle="1" w:styleId="WWCharLFO13LVL7">
    <w:name w:val="WW_CharLFO13LVL7"/>
    <w:rsid w:val="00A00C17"/>
    <w:rPr>
      <w:rFonts w:ascii="Symbol" w:hAnsi="Symbol"/>
    </w:rPr>
  </w:style>
  <w:style w:type="character" w:customStyle="1" w:styleId="WWCharLFO13LVL8">
    <w:name w:val="WW_CharLFO13LVL8"/>
    <w:rsid w:val="00A00C17"/>
    <w:rPr>
      <w:rFonts w:ascii="Courier New" w:hAnsi="Courier New" w:cs="Courier New"/>
    </w:rPr>
  </w:style>
  <w:style w:type="character" w:customStyle="1" w:styleId="WWCharLFO13LVL9">
    <w:name w:val="WW_CharLFO13LVL9"/>
    <w:rsid w:val="00A00C17"/>
    <w:rPr>
      <w:rFonts w:ascii="Wingdings" w:hAnsi="Wingdings"/>
    </w:rPr>
  </w:style>
  <w:style w:type="character" w:customStyle="1" w:styleId="WWCharLFO15LVL1">
    <w:name w:val="WW_CharLFO15LVL1"/>
    <w:rsid w:val="00A00C17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A00C17"/>
    <w:rPr>
      <w:rFonts w:ascii="Courier New" w:hAnsi="Courier New" w:cs="Courier New"/>
    </w:rPr>
  </w:style>
  <w:style w:type="character" w:customStyle="1" w:styleId="WWCharLFO15LVL3">
    <w:name w:val="WW_CharLFO15LVL3"/>
    <w:rsid w:val="00A00C17"/>
    <w:rPr>
      <w:rFonts w:ascii="Wingdings" w:hAnsi="Wingdings"/>
    </w:rPr>
  </w:style>
  <w:style w:type="character" w:customStyle="1" w:styleId="WWCharLFO15LVL4">
    <w:name w:val="WW_CharLFO15LVL4"/>
    <w:rsid w:val="00A00C17"/>
    <w:rPr>
      <w:rFonts w:ascii="Symbol" w:hAnsi="Symbol"/>
    </w:rPr>
  </w:style>
  <w:style w:type="character" w:customStyle="1" w:styleId="WWCharLFO15LVL5">
    <w:name w:val="WW_CharLFO15LVL5"/>
    <w:rsid w:val="00A00C17"/>
    <w:rPr>
      <w:rFonts w:ascii="Courier New" w:hAnsi="Courier New" w:cs="Courier New"/>
    </w:rPr>
  </w:style>
  <w:style w:type="character" w:customStyle="1" w:styleId="WWCharLFO15LVL6">
    <w:name w:val="WW_CharLFO15LVL6"/>
    <w:rsid w:val="00A00C17"/>
    <w:rPr>
      <w:rFonts w:ascii="Wingdings" w:hAnsi="Wingdings"/>
    </w:rPr>
  </w:style>
  <w:style w:type="character" w:customStyle="1" w:styleId="WWCharLFO15LVL7">
    <w:name w:val="WW_CharLFO15LVL7"/>
    <w:rsid w:val="00A00C17"/>
    <w:rPr>
      <w:rFonts w:ascii="Symbol" w:hAnsi="Symbol"/>
    </w:rPr>
  </w:style>
  <w:style w:type="character" w:customStyle="1" w:styleId="WWCharLFO15LVL8">
    <w:name w:val="WW_CharLFO15LVL8"/>
    <w:rsid w:val="00A00C17"/>
    <w:rPr>
      <w:rFonts w:ascii="Courier New" w:hAnsi="Courier New" w:cs="Courier New"/>
    </w:rPr>
  </w:style>
  <w:style w:type="character" w:customStyle="1" w:styleId="WWCharLFO15LVL9">
    <w:name w:val="WW_CharLFO15LVL9"/>
    <w:rsid w:val="00A00C17"/>
    <w:rPr>
      <w:rFonts w:ascii="Wingdings" w:hAnsi="Wingdings"/>
    </w:rPr>
  </w:style>
  <w:style w:type="character" w:customStyle="1" w:styleId="Caratteredellanota">
    <w:name w:val="Carattere della nota"/>
    <w:rsid w:val="00A00C17"/>
  </w:style>
  <w:style w:type="paragraph" w:styleId="Testonotaapidipagina">
    <w:name w:val="footnote text"/>
    <w:basedOn w:val="Normale"/>
    <w:rsid w:val="00A00C17"/>
  </w:style>
  <w:style w:type="paragraph" w:styleId="Paragrafoelenco">
    <w:name w:val="List Paragraph"/>
    <w:basedOn w:val="Normale"/>
    <w:rsid w:val="00A00C17"/>
    <w:pPr>
      <w:ind w:left="357" w:hanging="357"/>
    </w:pPr>
  </w:style>
  <w:style w:type="paragraph" w:styleId="Titolo">
    <w:name w:val="Title"/>
    <w:basedOn w:val="Normale"/>
    <w:next w:val="Normale"/>
    <w:autoRedefine/>
    <w:rsid w:val="00A00C17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A00C17"/>
  </w:style>
  <w:style w:type="paragraph" w:styleId="Intestazione">
    <w:name w:val="header"/>
    <w:basedOn w:val="Normale"/>
    <w:rsid w:val="00A00C17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A00C17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A00C17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A00C17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A00C17"/>
    <w:rPr>
      <w:b/>
      <w:bCs/>
    </w:rPr>
  </w:style>
  <w:style w:type="paragraph" w:styleId="Testofumetto">
    <w:name w:val="Balloon Text"/>
    <w:basedOn w:val="Normale"/>
    <w:rsid w:val="00A00C17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zionetecnica.it/lt_link/normativa/REJBTkFDMTNBMjAyMjIwMQ=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javascript:webmail.View.mailto(%7bmailto:'attestazioni.oiv@anticorruzione.it',%20subject:%20''%7d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lazionetecnica.it/lt_link/normativa/REJBTkFDMTNBMjAyMjIwMQ=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E12C-51C2-455A-9E52-69B9F716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Gandolfo Francesca</cp:lastModifiedBy>
  <cp:revision>2</cp:revision>
  <cp:lastPrinted>2018-02-28T15:30:00Z</cp:lastPrinted>
  <dcterms:created xsi:type="dcterms:W3CDTF">2022-11-07T08:13:00Z</dcterms:created>
  <dcterms:modified xsi:type="dcterms:W3CDTF">2022-11-07T08:13:00Z</dcterms:modified>
</cp:coreProperties>
</file>